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5C01" w:rsidRPr="007E5C01" w:rsidRDefault="007E5C01">
      <w:pPr>
        <w:spacing w:line="240" w:lineRule="auto"/>
        <w:rPr>
          <w:b/>
          <w:sz w:val="32"/>
          <w:szCs w:val="32"/>
          <w:u w:val="single"/>
        </w:rPr>
      </w:pPr>
      <w:r w:rsidRPr="007E5C01">
        <w:rPr>
          <w:b/>
          <w:sz w:val="32"/>
          <w:szCs w:val="32"/>
          <w:u w:val="single"/>
        </w:rPr>
        <w:t>Přeměna chemické energie v mechanickou</w:t>
      </w:r>
    </w:p>
    <w:p w:rsidR="007E5C01" w:rsidRDefault="007E5C01">
      <w:pPr>
        <w:spacing w:line="240" w:lineRule="auto"/>
      </w:pPr>
    </w:p>
    <w:p w:rsidR="0097114D" w:rsidRDefault="00087177">
      <w:pPr>
        <w:spacing w:line="240" w:lineRule="auto"/>
      </w:pPr>
      <w:r>
        <w:t xml:space="preserve">Molekulám schopným této energetické přeměny se říká </w:t>
      </w:r>
      <w:r>
        <w:rPr>
          <w:i/>
        </w:rPr>
        <w:t>molekulární motory</w:t>
      </w:r>
      <w:r>
        <w:t xml:space="preserve">. Nejklasičtějším příkladem je svalový </w:t>
      </w:r>
      <w:proofErr w:type="spellStart"/>
      <w:r>
        <w:t>myosin</w:t>
      </w:r>
      <w:proofErr w:type="spellEnd"/>
      <w:r>
        <w:t xml:space="preserve"> (posouvá se po aktinu), ale patří sem i ATP-</w:t>
      </w:r>
      <w:proofErr w:type="spellStart"/>
      <w:r>
        <w:t>syntáza</w:t>
      </w:r>
      <w:proofErr w:type="spellEnd"/>
      <w:r>
        <w:t xml:space="preserve"> (vyrovnávání gradientu</w:t>
      </w:r>
      <w:r w:rsidR="002D35B6">
        <w:t xml:space="preserve"> iontů</w:t>
      </w:r>
      <w:r>
        <w:t xml:space="preserve"> přes membránu a syntéza ATP je spřažena rotací jejího “rotoru”) nebo různé enzymy účastnící se transkripce a translace (polymerázy, </w:t>
      </w:r>
      <w:proofErr w:type="spellStart"/>
      <w:r>
        <w:t>helikáza</w:t>
      </w:r>
      <w:proofErr w:type="spellEnd"/>
      <w:r>
        <w:t>).</w:t>
      </w:r>
    </w:p>
    <w:p w:rsidR="0097114D" w:rsidRDefault="0097114D">
      <w:pPr>
        <w:spacing w:line="240" w:lineRule="auto"/>
      </w:pPr>
    </w:p>
    <w:p w:rsidR="0097114D" w:rsidRDefault="00087177">
      <w:pPr>
        <w:pStyle w:val="Nadpis2"/>
        <w:spacing w:line="240" w:lineRule="auto"/>
      </w:pPr>
      <w:bookmarkStart w:id="0" w:name="h.jth5fokeh99h" w:colFirst="0" w:colLast="0"/>
      <w:bookmarkStart w:id="1" w:name="h.b0scwy614qpp" w:colFirst="0" w:colLast="0"/>
      <w:bookmarkStart w:id="2" w:name="h.r0we8nj0p01x" w:colFirst="0" w:colLast="0"/>
      <w:bookmarkEnd w:id="0"/>
      <w:bookmarkEnd w:id="1"/>
      <w:bookmarkEnd w:id="2"/>
      <w:r>
        <w:t>Svaly</w:t>
      </w:r>
    </w:p>
    <w:p w:rsidR="0097114D" w:rsidRDefault="00087177">
      <w:pPr>
        <w:pStyle w:val="Nadpis3"/>
        <w:spacing w:line="240" w:lineRule="auto"/>
      </w:pPr>
      <w:bookmarkStart w:id="3" w:name="h.p2xtmdpjl8s9" w:colFirst="0" w:colLast="0"/>
      <w:bookmarkEnd w:id="3"/>
      <w:r>
        <w:t>Obecné vlastnosti</w:t>
      </w:r>
    </w:p>
    <w:p w:rsidR="0097114D" w:rsidRDefault="00087177">
      <w:pPr>
        <w:pStyle w:val="Nadpis4"/>
        <w:spacing w:line="240" w:lineRule="auto"/>
      </w:pPr>
      <w:bookmarkStart w:id="4" w:name="h.w2042ptvieax" w:colFirst="0" w:colLast="0"/>
      <w:bookmarkEnd w:id="4"/>
      <w:r>
        <w:t>druhy kontrakce</w:t>
      </w:r>
    </w:p>
    <w:p w:rsidR="0097114D" w:rsidRDefault="00087177">
      <w:pPr>
        <w:numPr>
          <w:ilvl w:val="0"/>
          <w:numId w:val="3"/>
        </w:numPr>
        <w:ind w:hanging="359"/>
      </w:pPr>
      <w:r>
        <w:rPr>
          <w:i/>
        </w:rPr>
        <w:t>isotonická</w:t>
      </w:r>
      <w:r>
        <w:t xml:space="preserve"> </w:t>
      </w:r>
      <w:r w:rsidR="002D35B6">
        <w:t xml:space="preserve">(napětí </w:t>
      </w:r>
      <w:proofErr w:type="spellStart"/>
      <w:r w:rsidR="002D35B6">
        <w:t>konst</w:t>
      </w:r>
      <w:proofErr w:type="spellEnd"/>
      <w:r w:rsidR="002D35B6">
        <w:t xml:space="preserve">., délka se mění. Příklad: „ideální </w:t>
      </w:r>
      <w:r>
        <w:t>pohyb</w:t>
      </w:r>
      <w:r w:rsidR="002D35B6">
        <w:t>“</w:t>
      </w:r>
      <w:r>
        <w:t>)</w:t>
      </w:r>
    </w:p>
    <w:p w:rsidR="0097114D" w:rsidRDefault="00087177">
      <w:pPr>
        <w:numPr>
          <w:ilvl w:val="0"/>
          <w:numId w:val="3"/>
        </w:numPr>
        <w:ind w:hanging="359"/>
      </w:pPr>
      <w:proofErr w:type="spellStart"/>
      <w:r>
        <w:rPr>
          <w:i/>
        </w:rPr>
        <w:t>isometrická</w:t>
      </w:r>
      <w:proofErr w:type="spellEnd"/>
      <w:r w:rsidR="002D35B6">
        <w:t xml:space="preserve"> (napětí se mění, délka </w:t>
      </w:r>
      <w:proofErr w:type="spellStart"/>
      <w:r w:rsidR="002D35B6">
        <w:t>k</w:t>
      </w:r>
      <w:r>
        <w:t>onst.</w:t>
      </w:r>
      <w:r w:rsidR="002D35B6">
        <w:t>Příklad</w:t>
      </w:r>
      <w:proofErr w:type="spellEnd"/>
      <w:r w:rsidR="002D35B6">
        <w:t xml:space="preserve">: </w:t>
      </w:r>
      <w:r>
        <w:t xml:space="preserve">třeba když </w:t>
      </w:r>
      <w:proofErr w:type="spellStart"/>
      <w:r>
        <w:t>držim</w:t>
      </w:r>
      <w:proofErr w:type="spellEnd"/>
      <w:r>
        <w:t xml:space="preserve"> košík kam někdo</w:t>
      </w:r>
      <w:r>
        <w:br/>
        <w:t xml:space="preserve">                                  přidává věci)</w:t>
      </w:r>
    </w:p>
    <w:p w:rsidR="0097114D" w:rsidRDefault="00087177">
      <w:pPr>
        <w:pStyle w:val="Nadpis4"/>
      </w:pPr>
      <w:bookmarkStart w:id="5" w:name="h.4j2e367fd111" w:colFirst="0" w:colLast="0"/>
      <w:bookmarkEnd w:id="5"/>
      <w:r>
        <w:t>druhy svalů</w:t>
      </w:r>
    </w:p>
    <w:p w:rsidR="0002695D" w:rsidRDefault="00087177">
      <w:pPr>
        <w:numPr>
          <w:ilvl w:val="0"/>
          <w:numId w:val="4"/>
        </w:numPr>
        <w:ind w:hanging="359"/>
      </w:pPr>
      <w:r>
        <w:rPr>
          <w:i/>
        </w:rPr>
        <w:t>příčně pruhované</w:t>
      </w:r>
    </w:p>
    <w:p w:rsidR="0002695D" w:rsidRDefault="001A190F" w:rsidP="0002695D">
      <w:pPr>
        <w:numPr>
          <w:ilvl w:val="1"/>
          <w:numId w:val="4"/>
        </w:numPr>
        <w:ind w:firstLine="261"/>
      </w:pPr>
      <w:r>
        <w:t xml:space="preserve">Obsahují dlouhé </w:t>
      </w:r>
      <w:proofErr w:type="spellStart"/>
      <w:r>
        <w:t>m</w:t>
      </w:r>
      <w:r w:rsidR="0002695D">
        <w:t>ultijaderné</w:t>
      </w:r>
      <w:proofErr w:type="spellEnd"/>
      <w:r w:rsidR="0002695D">
        <w:t xml:space="preserve"> buňky (svalová vlákna), MAJÍ </w:t>
      </w:r>
      <w:proofErr w:type="spellStart"/>
      <w:r w:rsidR="0002695D">
        <w:t>sarkomery</w:t>
      </w:r>
      <w:proofErr w:type="spellEnd"/>
      <w:r w:rsidR="0002695D">
        <w:t>.</w:t>
      </w:r>
    </w:p>
    <w:p w:rsidR="0002695D" w:rsidRDefault="00087177" w:rsidP="0002695D">
      <w:pPr>
        <w:numPr>
          <w:ilvl w:val="1"/>
          <w:numId w:val="4"/>
        </w:numPr>
        <w:ind w:firstLine="261"/>
      </w:pPr>
      <w:r>
        <w:t>ovladatelné vůlí, rychlá kontrakce, rychlá únava.</w:t>
      </w:r>
    </w:p>
    <w:p w:rsidR="0097114D" w:rsidRDefault="00922434" w:rsidP="0002695D">
      <w:pPr>
        <w:numPr>
          <w:ilvl w:val="1"/>
          <w:numId w:val="4"/>
        </w:numPr>
        <w:ind w:firstLine="261"/>
      </w:pPr>
      <w:r>
        <w:t>„Takové ty svaly</w:t>
      </w:r>
      <w:r w:rsidR="001A190F">
        <w:t>,</w:t>
      </w:r>
      <w:r>
        <w:t xml:space="preserve"> o kterých víme“.</w:t>
      </w:r>
    </w:p>
    <w:p w:rsidR="001A190F" w:rsidRDefault="001A190F" w:rsidP="001A190F">
      <w:pPr>
        <w:numPr>
          <w:ilvl w:val="0"/>
          <w:numId w:val="4"/>
        </w:numPr>
        <w:ind w:hanging="359"/>
      </w:pPr>
      <w:r>
        <w:rPr>
          <w:i/>
        </w:rPr>
        <w:t>hladké</w:t>
      </w:r>
    </w:p>
    <w:p w:rsidR="001A190F" w:rsidRDefault="001A190F" w:rsidP="001A190F">
      <w:pPr>
        <w:numPr>
          <w:ilvl w:val="1"/>
          <w:numId w:val="4"/>
        </w:numPr>
        <w:ind w:firstLine="261"/>
      </w:pPr>
      <w:r>
        <w:t>Mnoho jednojaderných buněk, každá má svůj kontraktibilní cytoskelet.</w:t>
      </w:r>
    </w:p>
    <w:p w:rsidR="001A190F" w:rsidRDefault="001A190F" w:rsidP="001A190F">
      <w:pPr>
        <w:numPr>
          <w:ilvl w:val="1"/>
          <w:numId w:val="4"/>
        </w:numPr>
        <w:ind w:firstLine="261"/>
      </w:pPr>
      <w:r>
        <w:t>kontrakce pomalá, neovladatelná vůlí</w:t>
      </w:r>
    </w:p>
    <w:p w:rsidR="001A190F" w:rsidRDefault="001A190F" w:rsidP="001A190F">
      <w:pPr>
        <w:numPr>
          <w:ilvl w:val="1"/>
          <w:numId w:val="4"/>
        </w:numPr>
        <w:ind w:firstLine="261"/>
      </w:pPr>
      <w:r>
        <w:t xml:space="preserve">Aktinové a </w:t>
      </w:r>
      <w:proofErr w:type="spellStart"/>
      <w:r>
        <w:t>myosinové</w:t>
      </w:r>
      <w:proofErr w:type="spellEnd"/>
      <w:r>
        <w:t xml:space="preserve"> filamenty NEJSOU uspořádány v </w:t>
      </w:r>
      <w:proofErr w:type="spellStart"/>
      <w:r>
        <w:t>sarkomerách</w:t>
      </w:r>
      <w:proofErr w:type="spellEnd"/>
      <w:r>
        <w:tab/>
      </w:r>
    </w:p>
    <w:p w:rsidR="001A190F" w:rsidRDefault="001A190F" w:rsidP="001A190F">
      <w:pPr>
        <w:numPr>
          <w:ilvl w:val="1"/>
          <w:numId w:val="4"/>
        </w:numPr>
        <w:ind w:firstLine="261"/>
      </w:pPr>
      <w:r>
        <w:t>Vyskytují se třeba okolo cév, vnitřních orgánů, zorniček.</w:t>
      </w:r>
    </w:p>
    <w:p w:rsidR="0002695D" w:rsidRDefault="0002695D">
      <w:pPr>
        <w:numPr>
          <w:ilvl w:val="0"/>
          <w:numId w:val="4"/>
        </w:numPr>
        <w:ind w:hanging="359"/>
      </w:pPr>
      <w:r>
        <w:rPr>
          <w:i/>
        </w:rPr>
        <w:t>S</w:t>
      </w:r>
      <w:r w:rsidR="00087177">
        <w:rPr>
          <w:i/>
        </w:rPr>
        <w:t>rdeční</w:t>
      </w:r>
    </w:p>
    <w:p w:rsidR="0097114D" w:rsidRDefault="0002695D" w:rsidP="0002695D">
      <w:pPr>
        <w:numPr>
          <w:ilvl w:val="1"/>
          <w:numId w:val="4"/>
        </w:numPr>
        <w:ind w:firstLine="261"/>
      </w:pPr>
      <w:r>
        <w:t>jedno</w:t>
      </w:r>
      <w:r w:rsidR="00922434">
        <w:t>jaderné b</w:t>
      </w:r>
      <w:r>
        <w:t>uňky, které</w:t>
      </w:r>
      <w:r w:rsidR="00087177">
        <w:t xml:space="preserve"> MAJÍ </w:t>
      </w:r>
      <w:r>
        <w:t xml:space="preserve">krátké </w:t>
      </w:r>
      <w:proofErr w:type="spellStart"/>
      <w:r w:rsidR="00087177">
        <w:t>sarkomery</w:t>
      </w:r>
      <w:proofErr w:type="spellEnd"/>
      <w:r>
        <w:t xml:space="preserve"> a</w:t>
      </w:r>
      <w:r w:rsidR="00087177">
        <w:t xml:space="preserve"> jsou spojeny můstky, takže se vzruch šíří napříč </w:t>
      </w:r>
      <w:r>
        <w:t>celým srdcem</w:t>
      </w:r>
      <w:r w:rsidR="00922434">
        <w:t xml:space="preserve"> (=srdeční stah</w:t>
      </w:r>
      <w:r w:rsidR="00087177">
        <w:t>)</w:t>
      </w:r>
      <w:r w:rsidR="00922434">
        <w:t xml:space="preserve">. </w:t>
      </w:r>
    </w:p>
    <w:p w:rsidR="007E5C01" w:rsidRDefault="007E5C01">
      <w:pPr>
        <w:pStyle w:val="Nadpis3"/>
        <w:spacing w:line="240" w:lineRule="auto"/>
      </w:pPr>
      <w:bookmarkStart w:id="6" w:name="h.glsxk6uzfezf" w:colFirst="0" w:colLast="0"/>
      <w:bookmarkStart w:id="7" w:name="h.z8p1p7k4w5j9" w:colFirst="0" w:colLast="0"/>
      <w:bookmarkStart w:id="8" w:name="h.1w0gbwcomb5r" w:colFirst="0" w:colLast="0"/>
      <w:bookmarkEnd w:id="6"/>
      <w:bookmarkEnd w:id="7"/>
      <w:bookmarkEnd w:id="8"/>
    </w:p>
    <w:p w:rsidR="007E5C01" w:rsidRDefault="007E5C01">
      <w:pPr>
        <w:pStyle w:val="Nadpis3"/>
        <w:spacing w:line="240" w:lineRule="auto"/>
      </w:pPr>
    </w:p>
    <w:p w:rsidR="007E5C01" w:rsidRDefault="007E5C01">
      <w:pPr>
        <w:pStyle w:val="Nadpis3"/>
        <w:spacing w:line="240" w:lineRule="auto"/>
      </w:pPr>
    </w:p>
    <w:p w:rsidR="007E5C01" w:rsidRDefault="007E5C01">
      <w:pPr>
        <w:pStyle w:val="Nadpis3"/>
        <w:spacing w:line="240" w:lineRule="auto"/>
      </w:pPr>
    </w:p>
    <w:p w:rsidR="007E5C01" w:rsidRDefault="007E5C01">
      <w:pPr>
        <w:pStyle w:val="Nadpis3"/>
        <w:spacing w:line="240" w:lineRule="auto"/>
      </w:pPr>
    </w:p>
    <w:p w:rsidR="007E5C01" w:rsidRDefault="007E5C01">
      <w:pPr>
        <w:pStyle w:val="Nadpis3"/>
        <w:spacing w:line="240" w:lineRule="auto"/>
      </w:pPr>
    </w:p>
    <w:p w:rsidR="007E5C01" w:rsidRDefault="007E5C01">
      <w:pPr>
        <w:pStyle w:val="Nadpis3"/>
        <w:spacing w:line="240" w:lineRule="auto"/>
      </w:pPr>
    </w:p>
    <w:p w:rsidR="0097114D" w:rsidRDefault="00087177">
      <w:pPr>
        <w:pStyle w:val="Nadpis3"/>
        <w:spacing w:line="240" w:lineRule="auto"/>
      </w:pPr>
      <w:r>
        <w:lastRenderedPageBreak/>
        <w:t xml:space="preserve">Struktura </w:t>
      </w:r>
      <w:r w:rsidR="00E32F8A">
        <w:t xml:space="preserve">příčně pruhovaného </w:t>
      </w:r>
      <w:r>
        <w:t>svalu</w:t>
      </w:r>
    </w:p>
    <w:p w:rsidR="0097114D" w:rsidRDefault="0097114D">
      <w:pPr>
        <w:spacing w:line="240" w:lineRule="auto"/>
      </w:pPr>
    </w:p>
    <w:p w:rsidR="0097114D" w:rsidRDefault="00087177">
      <w:pPr>
        <w:spacing w:line="240" w:lineRule="auto"/>
      </w:pPr>
      <w:r>
        <w:rPr>
          <w:noProof/>
        </w:rPr>
        <w:drawing>
          <wp:inline distT="0" distB="0" distL="0" distR="0">
            <wp:extent cx="3200400" cy="2562225"/>
            <wp:effectExtent l="0" t="0" r="0" b="0"/>
            <wp:docPr id="8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97114D">
      <w:pPr>
        <w:spacing w:line="240" w:lineRule="auto"/>
      </w:pPr>
    </w:p>
    <w:p w:rsidR="0097114D" w:rsidRDefault="00087177">
      <w:pPr>
        <w:pStyle w:val="Nadpis4"/>
        <w:spacing w:line="240" w:lineRule="auto"/>
      </w:pPr>
      <w:bookmarkStart w:id="9" w:name="h.9s19z0rrlmui" w:colFirst="0" w:colLast="0"/>
      <w:bookmarkEnd w:id="9"/>
      <w:r>
        <w:t>Hierarchie uspořádání (od nejtlustšího k nejtenčímu)</w:t>
      </w:r>
    </w:p>
    <w:p w:rsidR="0097114D" w:rsidRDefault="00087177">
      <w:pPr>
        <w:numPr>
          <w:ilvl w:val="0"/>
          <w:numId w:val="2"/>
        </w:numPr>
        <w:spacing w:line="240" w:lineRule="auto"/>
        <w:ind w:hanging="359"/>
      </w:pPr>
      <w:r>
        <w:t xml:space="preserve">sval -&gt; </w:t>
      </w:r>
    </w:p>
    <w:p w:rsidR="0097114D" w:rsidRDefault="00087177">
      <w:pPr>
        <w:numPr>
          <w:ilvl w:val="0"/>
          <w:numId w:val="2"/>
        </w:numPr>
        <w:spacing w:line="240" w:lineRule="auto"/>
        <w:ind w:hanging="359"/>
      </w:pPr>
      <w:r>
        <w:t xml:space="preserve">svazek/snopec svalových vláken -&gt; </w:t>
      </w:r>
    </w:p>
    <w:p w:rsidR="0097114D" w:rsidRDefault="00087177">
      <w:pPr>
        <w:numPr>
          <w:ilvl w:val="0"/>
          <w:numId w:val="2"/>
        </w:numPr>
        <w:spacing w:line="240" w:lineRule="auto"/>
        <w:ind w:hanging="359"/>
      </w:pPr>
      <w:r>
        <w:t>svalové vlákno (dlouhá tenká mnohojaderná buňka, může být dlouhá jako celý sval) -&gt;</w:t>
      </w:r>
    </w:p>
    <w:p w:rsidR="0097114D" w:rsidRDefault="00087177">
      <w:pPr>
        <w:numPr>
          <w:ilvl w:val="0"/>
          <w:numId w:val="2"/>
        </w:numPr>
        <w:spacing w:line="240" w:lineRule="auto"/>
        <w:ind w:hanging="359"/>
      </w:pPr>
      <w:r>
        <w:t xml:space="preserve">myofibrily -&gt; </w:t>
      </w:r>
    </w:p>
    <w:p w:rsidR="0097114D" w:rsidRDefault="00087177">
      <w:pPr>
        <w:numPr>
          <w:ilvl w:val="0"/>
          <w:numId w:val="2"/>
        </w:numPr>
        <w:spacing w:line="240" w:lineRule="auto"/>
        <w:ind w:hanging="359"/>
      </w:pPr>
      <w:r>
        <w:t xml:space="preserve">filamenty (tenké=hlavně aktin, tlusté=hlavně </w:t>
      </w:r>
      <w:proofErr w:type="spellStart"/>
      <w:r>
        <w:t>myosin</w:t>
      </w:r>
      <w:proofErr w:type="spellEnd"/>
      <w:r>
        <w:t>)</w:t>
      </w:r>
    </w:p>
    <w:p w:rsidR="0097114D" w:rsidRDefault="00087177">
      <w:pPr>
        <w:pStyle w:val="Nadpis4"/>
        <w:spacing w:line="240" w:lineRule="auto"/>
      </w:pPr>
      <w:bookmarkStart w:id="10" w:name="h.ri0286kuj9s9" w:colFirst="0" w:colLast="0"/>
      <w:bookmarkEnd w:id="10"/>
      <w:r>
        <w:t>Struktura myofibrily</w:t>
      </w:r>
    </w:p>
    <w:p w:rsidR="0097114D" w:rsidRDefault="00087177">
      <w:r>
        <w:t xml:space="preserve">Podél myofibrily se opakují strukturní jednotky zvané </w:t>
      </w:r>
      <w:proofErr w:type="spellStart"/>
      <w:r>
        <w:t>sarkomery</w:t>
      </w:r>
      <w:proofErr w:type="spellEnd"/>
      <w:r>
        <w:t>:</w:t>
      </w:r>
    </w:p>
    <w:p w:rsidR="0097114D" w:rsidRDefault="00087177">
      <w:r>
        <w:rPr>
          <w:noProof/>
        </w:rPr>
        <w:drawing>
          <wp:inline distT="0" distB="0" distL="0" distR="0">
            <wp:extent cx="3362325" cy="1304925"/>
            <wp:effectExtent l="0" t="0" r="0" b="0"/>
            <wp:docPr id="6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97114D"/>
    <w:p w:rsidR="007E5C01" w:rsidRDefault="007E5C01">
      <w:pPr>
        <w:pStyle w:val="Nadpis4"/>
      </w:pPr>
      <w:bookmarkStart w:id="11" w:name="h.yci747t0jont" w:colFirst="0" w:colLast="0"/>
      <w:bookmarkEnd w:id="11"/>
    </w:p>
    <w:p w:rsidR="007E5C01" w:rsidRDefault="007E5C01">
      <w:pPr>
        <w:pStyle w:val="Nadpis4"/>
      </w:pPr>
    </w:p>
    <w:p w:rsidR="007E5C01" w:rsidRDefault="007E5C01">
      <w:pPr>
        <w:pStyle w:val="Nadpis4"/>
      </w:pPr>
    </w:p>
    <w:p w:rsidR="007E5C01" w:rsidRDefault="007E5C01">
      <w:pPr>
        <w:pStyle w:val="Nadpis4"/>
      </w:pPr>
    </w:p>
    <w:p w:rsidR="007E5C01" w:rsidRDefault="007E5C01">
      <w:pPr>
        <w:pStyle w:val="Nadpis4"/>
      </w:pPr>
    </w:p>
    <w:p w:rsidR="0097114D" w:rsidRDefault="00087177">
      <w:pPr>
        <w:pStyle w:val="Nadpis4"/>
      </w:pPr>
      <w:r>
        <w:lastRenderedPageBreak/>
        <w:t xml:space="preserve">Detail </w:t>
      </w:r>
      <w:proofErr w:type="spellStart"/>
      <w:r>
        <w:t>sarkomery</w:t>
      </w:r>
      <w:proofErr w:type="spellEnd"/>
    </w:p>
    <w:p w:rsidR="0097114D" w:rsidRDefault="00087177">
      <w:r>
        <w:rPr>
          <w:noProof/>
        </w:rPr>
        <w:drawing>
          <wp:inline distT="0" distB="0" distL="0" distR="0">
            <wp:extent cx="2895600" cy="2476500"/>
            <wp:effectExtent l="0" t="0" r="0" b="0"/>
            <wp:docPr id="2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087177">
      <w:r>
        <w:t xml:space="preserve">Délka </w:t>
      </w:r>
      <w:proofErr w:type="spellStart"/>
      <w:r>
        <w:t>sarkomery</w:t>
      </w:r>
      <w:proofErr w:type="spellEnd"/>
      <w:r>
        <w:t xml:space="preserve"> je asi 2,5 mikronů.</w:t>
      </w:r>
    </w:p>
    <w:p w:rsidR="0097114D" w:rsidRDefault="0097114D"/>
    <w:p w:rsidR="0097114D" w:rsidRDefault="00087177">
      <w:r>
        <w:rPr>
          <w:b/>
        </w:rPr>
        <w:t>Silné filamenty</w:t>
      </w:r>
      <w:r>
        <w:t xml:space="preserve">: “to růžový s </w:t>
      </w:r>
      <w:proofErr w:type="spellStart"/>
      <w:r>
        <w:t>hlavičkama</w:t>
      </w:r>
      <w:proofErr w:type="spellEnd"/>
      <w:r>
        <w:t xml:space="preserve"> z předchozího obrázku, co je natažené mezi jednotlivými</w:t>
      </w:r>
      <w:r>
        <w:rPr>
          <w:i/>
        </w:rPr>
        <w:t xml:space="preserve"> Z-disky</w:t>
      </w:r>
      <w:r>
        <w:t xml:space="preserve"> na kraji”. Tvoří je agregát mnoha molekul </w:t>
      </w:r>
      <w:proofErr w:type="spellStart"/>
      <w:r>
        <w:rPr>
          <w:i/>
        </w:rPr>
        <w:t>myosinu</w:t>
      </w:r>
      <w:proofErr w:type="spellEnd"/>
      <w:r>
        <w:t xml:space="preserve">. Struktura jednoho dimeru </w:t>
      </w:r>
      <w:proofErr w:type="spellStart"/>
      <w:r>
        <w:t>myosinu</w:t>
      </w:r>
      <w:proofErr w:type="spellEnd"/>
      <w:r>
        <w:t xml:space="preserve"> je:</w:t>
      </w:r>
    </w:p>
    <w:p w:rsidR="0097114D" w:rsidRDefault="00087177">
      <w:r>
        <w:rPr>
          <w:noProof/>
        </w:rPr>
        <w:drawing>
          <wp:inline distT="0" distB="0" distL="0" distR="0">
            <wp:extent cx="2286000" cy="1409700"/>
            <wp:effectExtent l="0" t="0" r="0" b="0"/>
            <wp:docPr id="5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087177">
      <w:r>
        <w:t>2 těžké řetězce jsou do sebe zapleteny (“</w:t>
      </w:r>
      <w:proofErr w:type="spellStart"/>
      <w:r>
        <w:rPr>
          <w:i/>
        </w:rPr>
        <w:t>coiled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coil</w:t>
      </w:r>
      <w:proofErr w:type="spellEnd"/>
      <w:r>
        <w:t xml:space="preserve">” struktura, vzniká pomocí hydrofobního efektu = </w:t>
      </w:r>
      <w:proofErr w:type="spellStart"/>
      <w:r>
        <w:t>hydrofob</w:t>
      </w:r>
      <w:proofErr w:type="spellEnd"/>
      <w:r>
        <w:t>. aminokyseliny se k sobě “lepí”), každý z nich má hlavičku (</w:t>
      </w:r>
      <w:proofErr w:type="spellStart"/>
      <w:r>
        <w:rPr>
          <w:i/>
        </w:rPr>
        <w:t>head</w:t>
      </w:r>
      <w:proofErr w:type="spellEnd"/>
      <w:r>
        <w:t>, N-konec) a ocásek (</w:t>
      </w:r>
      <w:proofErr w:type="spellStart"/>
      <w:r>
        <w:rPr>
          <w:i/>
        </w:rPr>
        <w:t>tail</w:t>
      </w:r>
      <w:proofErr w:type="spellEnd"/>
      <w:r>
        <w:t xml:space="preserve">, C-konec). Lehké řetězce jsou zodpovědné za odklon hlavičky. </w:t>
      </w:r>
    </w:p>
    <w:p w:rsidR="0097114D" w:rsidRDefault="00087177">
      <w:r>
        <w:br/>
      </w:r>
      <w:r>
        <w:rPr>
          <w:b/>
        </w:rPr>
        <w:t>Tenké filamenty</w:t>
      </w:r>
      <w:r>
        <w:t>: “</w:t>
      </w:r>
      <w:r w:rsidR="002D35B6">
        <w:t xml:space="preserve">na obrázku detailu </w:t>
      </w:r>
      <w:proofErr w:type="spellStart"/>
      <w:r w:rsidR="002D35B6">
        <w:t>sarkomery</w:t>
      </w:r>
      <w:proofErr w:type="spellEnd"/>
      <w:r w:rsidR="002D35B6">
        <w:t xml:space="preserve"> je to </w:t>
      </w:r>
      <w:r>
        <w:t xml:space="preserve">to modrý s mezerou uprostřed”, z 60% tvořeno </w:t>
      </w:r>
      <w:r>
        <w:rPr>
          <w:i/>
        </w:rPr>
        <w:t>aktinem</w:t>
      </w:r>
      <w:r>
        <w:t xml:space="preserve">. Jedná se o polymer, přičemž jednotlivé </w:t>
      </w:r>
      <w:r w:rsidR="00F80B6B">
        <w:t>monomery aktinu</w:t>
      </w:r>
      <w:r>
        <w:t xml:space="preserve"> se skládají tak, že výsledek vytváří zdání šroubovice.</w:t>
      </w:r>
    </w:p>
    <w:p w:rsidR="0097114D" w:rsidRDefault="00087177">
      <w:r>
        <w:rPr>
          <w:noProof/>
        </w:rPr>
        <w:drawing>
          <wp:inline distT="0" distB="0" distL="0" distR="0">
            <wp:extent cx="4105275" cy="1152525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97114D"/>
    <w:p w:rsidR="0097114D" w:rsidRDefault="00087177">
      <w:r>
        <w:t xml:space="preserve">Při kontrakci svalu hlavičky </w:t>
      </w:r>
      <w:proofErr w:type="spellStart"/>
      <w:r>
        <w:rPr>
          <w:i/>
        </w:rPr>
        <w:t>myosinu</w:t>
      </w:r>
      <w:proofErr w:type="spellEnd"/>
      <w:r>
        <w:rPr>
          <w:i/>
        </w:rPr>
        <w:t xml:space="preserve"> </w:t>
      </w:r>
      <w:r>
        <w:t xml:space="preserve">změní konformaci a sklopí se, čímž se od aktinu odstrčí, a ve výsledku se </w:t>
      </w:r>
      <w:r>
        <w:rPr>
          <w:i/>
        </w:rPr>
        <w:t>Z-disky</w:t>
      </w:r>
      <w:r>
        <w:t xml:space="preserve"> přitáhnou k sobě. Tím sval může konat práci.</w:t>
      </w:r>
    </w:p>
    <w:p w:rsidR="0097114D" w:rsidRDefault="0097114D"/>
    <w:p w:rsidR="0097114D" w:rsidRDefault="00087177">
      <w:pPr>
        <w:pStyle w:val="Nadpis4"/>
      </w:pPr>
      <w:bookmarkStart w:id="12" w:name="h.bam95eeakkks" w:colFirst="0" w:colLast="0"/>
      <w:bookmarkEnd w:id="12"/>
      <w:r>
        <w:t>Průřez myofibrilou</w:t>
      </w:r>
    </w:p>
    <w:p w:rsidR="0097114D" w:rsidRDefault="00087177">
      <w:pPr>
        <w:spacing w:line="240" w:lineRule="auto"/>
      </w:pPr>
      <w:r>
        <w:rPr>
          <w:noProof/>
        </w:rPr>
        <w:drawing>
          <wp:inline distT="0" distB="0" distL="0" distR="0">
            <wp:extent cx="4057650" cy="2647950"/>
            <wp:effectExtent l="0" t="0" r="0" b="0"/>
            <wp:docPr id="4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97114D">
      <w:pPr>
        <w:spacing w:line="240" w:lineRule="auto"/>
      </w:pPr>
    </w:p>
    <w:p w:rsidR="0097114D" w:rsidRDefault="00087177">
      <w:pPr>
        <w:pStyle w:val="Nadpis4"/>
        <w:spacing w:line="240" w:lineRule="auto"/>
      </w:pPr>
      <w:bookmarkStart w:id="13" w:name="h.7t98mwji2qk5" w:colFirst="0" w:colLast="0"/>
      <w:bookmarkEnd w:id="13"/>
      <w:r>
        <w:t xml:space="preserve">Detail cyklu interakce aktinu a </w:t>
      </w:r>
      <w:proofErr w:type="spellStart"/>
      <w:r>
        <w:t>myosinu</w:t>
      </w:r>
      <w:proofErr w:type="spellEnd"/>
    </w:p>
    <w:p w:rsidR="0097114D" w:rsidRDefault="00087177">
      <w:pPr>
        <w:spacing w:line="240" w:lineRule="auto"/>
      </w:pPr>
      <w:r>
        <w:rPr>
          <w:noProof/>
        </w:rPr>
        <w:drawing>
          <wp:inline distT="0" distB="0" distL="0" distR="0">
            <wp:extent cx="5076825" cy="4191000"/>
            <wp:effectExtent l="0" t="0" r="0" b="0"/>
            <wp:docPr id="3" name="image0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gif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14D" w:rsidRDefault="00087177">
      <w:pPr>
        <w:spacing w:line="240" w:lineRule="auto"/>
      </w:pPr>
      <w:r>
        <w:t xml:space="preserve">Jak je vidět, spotřebuje se při cyklické změně konformace </w:t>
      </w:r>
      <w:proofErr w:type="spellStart"/>
      <w:r>
        <w:t>myosinové</w:t>
      </w:r>
      <w:proofErr w:type="spellEnd"/>
      <w:r>
        <w:t xml:space="preserve"> hlavičky ATP, která právě představuje tu chemickou energii na vstupu.</w:t>
      </w:r>
    </w:p>
    <w:p w:rsidR="0097114D" w:rsidRDefault="0097114D">
      <w:pPr>
        <w:spacing w:line="240" w:lineRule="auto"/>
      </w:pPr>
    </w:p>
    <w:p w:rsidR="0097114D" w:rsidRDefault="00087177">
      <w:pPr>
        <w:spacing w:line="240" w:lineRule="auto"/>
      </w:pPr>
      <w:r>
        <w:t xml:space="preserve">Energie z hydrolýzy ATP na ADP se ale konkrétně spotřebuje na vrácení hlavičky </w:t>
      </w:r>
      <w:proofErr w:type="spellStart"/>
      <w:r>
        <w:t>myosinu</w:t>
      </w:r>
      <w:proofErr w:type="spellEnd"/>
      <w:r>
        <w:t xml:space="preserve"> do připraveného stavu. Samotný silový záběr je spojen s uvo</w:t>
      </w:r>
      <w:r w:rsidR="002D35B6">
        <w:t>lněním ADP a P z komplexu aktin</w:t>
      </w:r>
      <w:r w:rsidR="002D35B6">
        <w:noBreakHyphen/>
      </w:r>
      <w:r>
        <w:t xml:space="preserve">hlavička. </w:t>
      </w:r>
    </w:p>
    <w:p w:rsidR="0097114D" w:rsidRDefault="00087177">
      <w:pPr>
        <w:pStyle w:val="Nadpis3"/>
        <w:spacing w:line="240" w:lineRule="auto"/>
      </w:pPr>
      <w:bookmarkStart w:id="14" w:name="h.g57ppt3005jy" w:colFirst="0" w:colLast="0"/>
      <w:bookmarkEnd w:id="14"/>
      <w:r>
        <w:t>Regulace kontrakce</w:t>
      </w:r>
    </w:p>
    <w:p w:rsidR="0097114D" w:rsidRDefault="0097114D">
      <w:pPr>
        <w:spacing w:line="240" w:lineRule="auto"/>
      </w:pPr>
    </w:p>
    <w:p w:rsidR="0097114D" w:rsidRDefault="00087177">
      <w:pPr>
        <w:spacing w:line="240" w:lineRule="auto"/>
      </w:pPr>
      <w:r>
        <w:t xml:space="preserve">Jak se stane, že se sval kontrahuje právě </w:t>
      </w:r>
      <w:proofErr w:type="gramStart"/>
      <w:r>
        <w:t>tehdy když</w:t>
      </w:r>
      <w:proofErr w:type="gramEnd"/>
      <w:r>
        <w:t xml:space="preserve"> chceme?</w:t>
      </w:r>
    </w:p>
    <w:p w:rsidR="00A038EA" w:rsidRDefault="00A038EA">
      <w:pPr>
        <w:spacing w:line="240" w:lineRule="auto"/>
      </w:pPr>
      <w:r>
        <w:t>Napřed se podívejme, jak je do svalu přiveden nervový vzruch:</w:t>
      </w:r>
    </w:p>
    <w:p w:rsidR="00A038EA" w:rsidRDefault="00A038EA">
      <w:pPr>
        <w:spacing w:line="240" w:lineRule="auto"/>
      </w:pPr>
    </w:p>
    <w:p w:rsidR="00A038EA" w:rsidRDefault="00A038EA">
      <w:pPr>
        <w:spacing w:line="240" w:lineRule="auto"/>
        <w:rPr>
          <w:b/>
          <w:i/>
        </w:rPr>
      </w:pPr>
      <w:proofErr w:type="spellStart"/>
      <w:r w:rsidRPr="00A038EA">
        <w:rPr>
          <w:b/>
          <w:i/>
        </w:rPr>
        <w:t>Neurosvalová</w:t>
      </w:r>
      <w:proofErr w:type="spellEnd"/>
      <w:r w:rsidRPr="00A038EA">
        <w:rPr>
          <w:b/>
          <w:i/>
        </w:rPr>
        <w:t xml:space="preserve"> ploténka</w:t>
      </w:r>
    </w:p>
    <w:p w:rsidR="00A038EA" w:rsidRPr="00A038EA" w:rsidRDefault="00A038EA">
      <w:pPr>
        <w:spacing w:line="240" w:lineRule="auto"/>
        <w:rPr>
          <w:b/>
          <w:i/>
        </w:rPr>
      </w:pPr>
    </w:p>
    <w:p w:rsidR="00A038EA" w:rsidRDefault="00A038EA">
      <w:pPr>
        <w:spacing w:line="240" w:lineRule="auto"/>
      </w:pPr>
      <w:r>
        <w:rPr>
          <w:noProof/>
        </w:rPr>
        <w:drawing>
          <wp:inline distT="0" distB="0" distL="0" distR="0" wp14:anchorId="7A7DA813" wp14:editId="41A5E97F">
            <wp:extent cx="5143500" cy="2596936"/>
            <wp:effectExtent l="0" t="0" r="0" b="0"/>
            <wp:docPr id="10" name="Obrázek 10" descr="C:\Users\Martin\Desktop\svaly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Desktop\svaly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7" cy="25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8EA" w:rsidRDefault="00A038EA">
      <w:pPr>
        <w:spacing w:line="240" w:lineRule="auto"/>
      </w:pPr>
    </w:p>
    <w:p w:rsidR="00A038EA" w:rsidRDefault="00A038EA">
      <w:pPr>
        <w:spacing w:line="240" w:lineRule="auto"/>
      </w:pPr>
    </w:p>
    <w:p w:rsidR="00C325FA" w:rsidRPr="00BF64F1" w:rsidRDefault="00F9004C">
      <w:pPr>
        <w:spacing w:line="240" w:lineRule="auto"/>
        <w:rPr>
          <w:shd w:val="clear" w:color="auto" w:fill="FFFFFF"/>
        </w:rPr>
      </w:pPr>
      <w:r w:rsidRPr="00BF64F1">
        <w:rPr>
          <w:shd w:val="clear" w:color="auto" w:fill="FFFFFF"/>
        </w:rPr>
        <w:t>Po axonu dorazí nervový vzruch</w:t>
      </w:r>
      <w:r w:rsidR="00C325FA" w:rsidRPr="00BF64F1">
        <w:rPr>
          <w:shd w:val="clear" w:color="auto" w:fill="FFFFFF"/>
        </w:rPr>
        <w:t>, do mezery mezi axonem a svalovou buňkou („</w:t>
      </w:r>
      <w:proofErr w:type="spellStart"/>
      <w:r w:rsidR="00C325FA" w:rsidRPr="00BF64F1">
        <w:rPr>
          <w:shd w:val="clear" w:color="auto" w:fill="FFFFFF"/>
        </w:rPr>
        <w:t>synaptic</w:t>
      </w:r>
      <w:proofErr w:type="spellEnd"/>
      <w:r w:rsidR="00C325FA" w:rsidRPr="00BF64F1">
        <w:rPr>
          <w:shd w:val="clear" w:color="auto" w:fill="FFFFFF"/>
        </w:rPr>
        <w:t xml:space="preserve"> </w:t>
      </w:r>
      <w:proofErr w:type="spellStart"/>
      <w:r w:rsidR="00C325FA" w:rsidRPr="00BF64F1">
        <w:rPr>
          <w:shd w:val="clear" w:color="auto" w:fill="FFFFFF"/>
        </w:rPr>
        <w:t>cleft</w:t>
      </w:r>
      <w:proofErr w:type="spellEnd"/>
      <w:r w:rsidR="00C325FA" w:rsidRPr="00BF64F1">
        <w:rPr>
          <w:shd w:val="clear" w:color="auto" w:fill="FFFFFF"/>
        </w:rPr>
        <w:t xml:space="preserve">“) se vyleje neurotransmiter, což </w:t>
      </w:r>
      <w:r w:rsidR="00BF64F1" w:rsidRPr="00BF64F1">
        <w:rPr>
          <w:shd w:val="clear" w:color="auto" w:fill="FFFFFF"/>
        </w:rPr>
        <w:t>po pár dalších krocích</w:t>
      </w:r>
      <w:r w:rsidR="00C325FA" w:rsidRPr="00BF64F1">
        <w:rPr>
          <w:shd w:val="clear" w:color="auto" w:fill="FFFFFF"/>
        </w:rPr>
        <w:t xml:space="preserve"> vede k tomu, že sarkoplasmatické retikulum (druh hladkého endoplasmatického retikula) obklopující myofibrily uvolní</w:t>
      </w:r>
      <w:r w:rsidR="00BF64F1" w:rsidRPr="00BF64F1">
        <w:rPr>
          <w:shd w:val="clear" w:color="auto" w:fill="FFFFFF"/>
        </w:rPr>
        <w:t xml:space="preserve"> dovnitř</w:t>
      </w:r>
      <w:r w:rsidR="00C325FA" w:rsidRPr="00BF64F1">
        <w:rPr>
          <w:shd w:val="clear" w:color="auto" w:fill="FFFFFF"/>
        </w:rPr>
        <w:t xml:space="preserve"> ionty Ca</w:t>
      </w:r>
      <w:r w:rsidR="00C325FA" w:rsidRPr="00BF64F1">
        <w:rPr>
          <w:shd w:val="clear" w:color="auto" w:fill="FFFFFF"/>
          <w:vertAlign w:val="superscript"/>
        </w:rPr>
        <w:t xml:space="preserve">2+  </w:t>
      </w:r>
      <w:r w:rsidR="00C325FA" w:rsidRPr="00BF64F1">
        <w:rPr>
          <w:shd w:val="clear" w:color="auto" w:fill="FFFFFF"/>
        </w:rPr>
        <w:t xml:space="preserve">(podrobněji o přenosu signálu na </w:t>
      </w:r>
      <w:hyperlink r:id="rId14" w:history="1">
        <w:r w:rsidR="00C325FA" w:rsidRPr="00BF64F1">
          <w:rPr>
            <w:rStyle w:val="Hypertextovodkaz"/>
          </w:rPr>
          <w:t>http://en.wikipedia.org/wiki/Excitation%E2%80%93contraction_coupling</w:t>
        </w:r>
      </w:hyperlink>
      <w:r w:rsidR="00C325FA" w:rsidRPr="00BF64F1">
        <w:t xml:space="preserve">  , říká se tomu </w:t>
      </w:r>
      <w:proofErr w:type="spellStart"/>
      <w:r w:rsidR="00C325FA" w:rsidRPr="00BF64F1">
        <w:t>excitation-contraction</w:t>
      </w:r>
      <w:proofErr w:type="spellEnd"/>
      <w:r w:rsidR="00C325FA" w:rsidRPr="00BF64F1">
        <w:t xml:space="preserve"> </w:t>
      </w:r>
      <w:proofErr w:type="spellStart"/>
      <w:r w:rsidR="00C325FA" w:rsidRPr="00BF64F1">
        <w:t>coupling</w:t>
      </w:r>
      <w:proofErr w:type="spellEnd"/>
      <w:r w:rsidR="00C325FA" w:rsidRPr="00BF64F1">
        <w:rPr>
          <w:shd w:val="clear" w:color="auto" w:fill="FFFFFF"/>
        </w:rPr>
        <w:t>).</w:t>
      </w:r>
    </w:p>
    <w:p w:rsidR="0097114D" w:rsidRDefault="00C325FA">
      <w:pPr>
        <w:spacing w:line="240" w:lineRule="auto"/>
      </w:pPr>
      <w:r w:rsidRPr="00BF64F1">
        <w:rPr>
          <w:shd w:val="clear" w:color="auto" w:fill="FFFFFF"/>
        </w:rPr>
        <w:t>Abychom pochopili, co v myofibrile dělají vyplavené ionty vápníku, podíváme se na detail</w:t>
      </w:r>
      <w:r w:rsidR="00087177" w:rsidRPr="00BF64F1">
        <w:t xml:space="preserve"> připevnění </w:t>
      </w:r>
      <w:proofErr w:type="spellStart"/>
      <w:r w:rsidR="00087177">
        <w:t>myosinové</w:t>
      </w:r>
      <w:proofErr w:type="spellEnd"/>
      <w:r w:rsidR="00087177">
        <w:t xml:space="preserve"> hlavičky:</w:t>
      </w:r>
    </w:p>
    <w:p w:rsidR="0097114D" w:rsidRDefault="00087177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2352675" cy="3114675"/>
            <wp:effectExtent l="0" t="0" r="9525" b="9525"/>
            <wp:docPr id="7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79" w:rsidRDefault="00087177" w:rsidP="00E95479">
      <w:pPr>
        <w:spacing w:line="240" w:lineRule="auto"/>
      </w:pPr>
      <w:r>
        <w:t xml:space="preserve">Součástí </w:t>
      </w:r>
      <w:r>
        <w:rPr>
          <w:i/>
        </w:rPr>
        <w:t>aktinového</w:t>
      </w:r>
      <w:r>
        <w:t xml:space="preserve"> vlákna jsou i molekuly </w:t>
      </w:r>
      <w:proofErr w:type="spellStart"/>
      <w:r>
        <w:rPr>
          <w:i/>
        </w:rPr>
        <w:t>tropomyosinu</w:t>
      </w:r>
      <w:proofErr w:type="spellEnd"/>
      <w:r>
        <w:t xml:space="preserve">, které v základním stavu ucpávají vazebná místa pro </w:t>
      </w:r>
      <w:proofErr w:type="spellStart"/>
      <w:r>
        <w:t>myosinové</w:t>
      </w:r>
      <w:proofErr w:type="spellEnd"/>
      <w:r>
        <w:t xml:space="preserve"> hlavičky </w:t>
      </w:r>
      <w:proofErr w:type="spellStart"/>
      <w:r>
        <w:rPr>
          <w:i/>
        </w:rPr>
        <w:t>myosinového</w:t>
      </w:r>
      <w:proofErr w:type="spellEnd"/>
      <w:r>
        <w:t xml:space="preserve"> vlákna. </w:t>
      </w:r>
      <w:r w:rsidR="00505969">
        <w:t>Ionty</w:t>
      </w:r>
      <w:r>
        <w:t xml:space="preserve"> Ca</w:t>
      </w:r>
      <w:r w:rsidR="00C057CC">
        <w:rPr>
          <w:vertAlign w:val="superscript"/>
        </w:rPr>
        <w:t>2+</w:t>
      </w:r>
      <w:r w:rsidR="002D35B6">
        <w:rPr>
          <w:vertAlign w:val="superscript"/>
        </w:rPr>
        <w:t xml:space="preserve"> </w:t>
      </w:r>
      <w:r w:rsidR="00505969">
        <w:t xml:space="preserve">uvolněné </w:t>
      </w:r>
      <w:proofErr w:type="gramStart"/>
      <w:r w:rsidR="00E95479">
        <w:t>ze</w:t>
      </w:r>
      <w:proofErr w:type="gramEnd"/>
    </w:p>
    <w:p w:rsidR="0097114D" w:rsidRDefault="00C057CC">
      <w:pPr>
        <w:spacing w:line="240" w:lineRule="auto"/>
      </w:pPr>
      <w:r>
        <w:t>s</w:t>
      </w:r>
      <w:r w:rsidR="00087177">
        <w:t>arkoplazmatické</w:t>
      </w:r>
      <w:r w:rsidR="00E95479">
        <w:t>ho retikula se navážou</w:t>
      </w:r>
      <w:r w:rsidR="00087177">
        <w:t xml:space="preserve"> na </w:t>
      </w:r>
      <w:r w:rsidR="00087177">
        <w:rPr>
          <w:i/>
        </w:rPr>
        <w:t>troponin</w:t>
      </w:r>
      <w:r w:rsidR="00087177">
        <w:t xml:space="preserve">, který změní konformaci a odkryje vazebné místo pro </w:t>
      </w:r>
      <w:proofErr w:type="spellStart"/>
      <w:r w:rsidR="00087177" w:rsidRPr="00E95479">
        <w:rPr>
          <w:i/>
        </w:rPr>
        <w:t>myosin</w:t>
      </w:r>
      <w:proofErr w:type="spellEnd"/>
      <w:r w:rsidR="00087177">
        <w:t xml:space="preserve">. Tím se spustí navazování a opětovné disociování </w:t>
      </w:r>
      <w:proofErr w:type="spellStart"/>
      <w:r w:rsidR="00087177">
        <w:rPr>
          <w:i/>
        </w:rPr>
        <w:t>myosinu</w:t>
      </w:r>
      <w:proofErr w:type="spellEnd"/>
      <w:r w:rsidR="00087177">
        <w:t xml:space="preserve"> (“</w:t>
      </w:r>
      <w:proofErr w:type="spellStart"/>
      <w:r w:rsidR="00087177">
        <w:rPr>
          <w:i/>
        </w:rPr>
        <w:t>cross</w:t>
      </w:r>
      <w:proofErr w:type="spellEnd"/>
      <w:r w:rsidR="00087177">
        <w:rPr>
          <w:i/>
        </w:rPr>
        <w:t xml:space="preserve"> </w:t>
      </w:r>
      <w:proofErr w:type="spellStart"/>
      <w:r w:rsidR="00087177">
        <w:rPr>
          <w:i/>
        </w:rPr>
        <w:t>bridge</w:t>
      </w:r>
      <w:proofErr w:type="spellEnd"/>
      <w:r w:rsidR="00087177">
        <w:rPr>
          <w:i/>
        </w:rPr>
        <w:t xml:space="preserve"> </w:t>
      </w:r>
      <w:proofErr w:type="spellStart"/>
      <w:proofErr w:type="gramStart"/>
      <w:r w:rsidR="00087177">
        <w:rPr>
          <w:i/>
        </w:rPr>
        <w:t>cycling</w:t>
      </w:r>
      <w:proofErr w:type="spellEnd"/>
      <w:r w:rsidR="00087177">
        <w:t>”)  vedoucí</w:t>
      </w:r>
      <w:proofErr w:type="gramEnd"/>
      <w:r w:rsidR="00087177">
        <w:t xml:space="preserve"> ke kontrakci svalu. Jak napovídá slovo </w:t>
      </w:r>
      <w:proofErr w:type="spellStart"/>
      <w:r>
        <w:rPr>
          <w:i/>
        </w:rPr>
        <w:t>c</w:t>
      </w:r>
      <w:r w:rsidR="00087177">
        <w:rPr>
          <w:i/>
        </w:rPr>
        <w:t>ycling</w:t>
      </w:r>
      <w:proofErr w:type="spellEnd"/>
      <w:r w:rsidR="00087177">
        <w:t>, opakuje se cyklicky, dokud je přítomno ATP a Ca</w:t>
      </w:r>
      <w:r w:rsidRPr="00C057CC">
        <w:rPr>
          <w:vertAlign w:val="superscript"/>
        </w:rPr>
        <w:t>2</w:t>
      </w:r>
      <w:r w:rsidR="00087177" w:rsidRPr="00C057CC">
        <w:rPr>
          <w:vertAlign w:val="superscript"/>
        </w:rPr>
        <w:t>+</w:t>
      </w:r>
      <w:r w:rsidR="00087177">
        <w:t>.</w:t>
      </w:r>
    </w:p>
    <w:p w:rsidR="0097114D" w:rsidRDefault="0097114D">
      <w:pPr>
        <w:spacing w:line="240" w:lineRule="auto"/>
      </w:pPr>
    </w:p>
    <w:p w:rsidR="0097114D" w:rsidRDefault="00087177">
      <w:pPr>
        <w:pStyle w:val="Nadpis3"/>
        <w:spacing w:line="240" w:lineRule="auto"/>
      </w:pPr>
      <w:bookmarkStart w:id="15" w:name="h.kbpxzlbfwezm" w:colFirst="0" w:colLast="0"/>
      <w:bookmarkEnd w:id="15"/>
      <w:r>
        <w:t>Parametry stahu</w:t>
      </w:r>
    </w:p>
    <w:p w:rsidR="0097114D" w:rsidRDefault="00087177">
      <w:r>
        <w:t>Cykly jednotlivých hlaviček</w:t>
      </w:r>
      <w:r w:rsidR="00026186" w:rsidRPr="00026186">
        <w:t xml:space="preserve"> </w:t>
      </w:r>
      <w:r w:rsidRPr="00026186">
        <w:t xml:space="preserve">jsou </w:t>
      </w:r>
      <w:r w:rsidR="00026186" w:rsidRPr="00026186">
        <w:rPr>
          <w:b/>
        </w:rPr>
        <w:t>a</w:t>
      </w:r>
      <w:r w:rsidRPr="00026186">
        <w:rPr>
          <w:b/>
        </w:rPr>
        <w:t>synchronní</w:t>
      </w:r>
      <w:r w:rsidR="00E95479">
        <w:t xml:space="preserve"> (</w:t>
      </w:r>
      <w:r w:rsidR="00026186">
        <w:t>aby se sval nestahoval v rázech nýbrž plynule).</w:t>
      </w:r>
    </w:p>
    <w:p w:rsidR="0097114D" w:rsidRDefault="00087177">
      <w:r>
        <w:t>Jedna hlavička stihne cca 5 cyklů (~5 ATP) za sekundu.</w:t>
      </w:r>
    </w:p>
    <w:p w:rsidR="0097114D" w:rsidRDefault="0097114D"/>
    <w:p w:rsidR="0097114D" w:rsidRDefault="0097114D">
      <w:pPr>
        <w:spacing w:line="240" w:lineRule="auto"/>
      </w:pPr>
    </w:p>
    <w:p w:rsidR="000333F2" w:rsidRPr="000333F2" w:rsidRDefault="000333F2">
      <w:pPr>
        <w:pStyle w:val="Nadpis2"/>
        <w:spacing w:line="240" w:lineRule="auto"/>
        <w:rPr>
          <w:b w:val="0"/>
          <w:sz w:val="22"/>
        </w:rPr>
      </w:pPr>
      <w:bookmarkStart w:id="16" w:name="h.o0eoe38giz8q" w:colFirst="0" w:colLast="0"/>
      <w:bookmarkEnd w:id="16"/>
      <w:r>
        <w:t>Celulární transport</w:t>
      </w:r>
      <w:r w:rsidR="00E30F73">
        <w:t>, pohyb organel</w:t>
      </w:r>
      <w:r w:rsidR="00A86AC8">
        <w:t xml:space="preserve"> a buněk</w:t>
      </w:r>
      <w:r w:rsidR="00E30F73">
        <w:t>…</w:t>
      </w:r>
    </w:p>
    <w:p w:rsidR="00E30F73" w:rsidRDefault="000333F2" w:rsidP="00E30F73">
      <w:pPr>
        <w:pStyle w:val="Nadpis2"/>
        <w:numPr>
          <w:ilvl w:val="0"/>
          <w:numId w:val="5"/>
        </w:numPr>
        <w:spacing w:line="240" w:lineRule="auto"/>
        <w:rPr>
          <w:b w:val="0"/>
          <w:sz w:val="22"/>
        </w:rPr>
      </w:pPr>
      <w:proofErr w:type="spellStart"/>
      <w:r w:rsidRPr="000333F2">
        <w:rPr>
          <w:b w:val="0"/>
          <w:sz w:val="22"/>
        </w:rPr>
        <w:t>myosin</w:t>
      </w:r>
      <w:proofErr w:type="spellEnd"/>
      <w:r w:rsidRPr="000333F2">
        <w:rPr>
          <w:b w:val="0"/>
          <w:sz w:val="22"/>
        </w:rPr>
        <w:t xml:space="preserve"> dokáže přemisťovat „náklad“ posouváním po aktinových mikrofilamentech, které tvoří část cytoskeletonu</w:t>
      </w:r>
    </w:p>
    <w:p w:rsidR="00E30F73" w:rsidRPr="00E30F73" w:rsidRDefault="00E30F73" w:rsidP="00E30F73">
      <w:pPr>
        <w:pStyle w:val="Odstavecseseznamem"/>
        <w:numPr>
          <w:ilvl w:val="0"/>
          <w:numId w:val="5"/>
        </w:numPr>
      </w:pPr>
      <w:proofErr w:type="spellStart"/>
      <w:r>
        <w:t>myosin</w:t>
      </w:r>
      <w:proofErr w:type="spellEnd"/>
      <w:r w:rsidR="00CD67CB">
        <w:t xml:space="preserve"> a aktin</w:t>
      </w:r>
      <w:r>
        <w:t xml:space="preserve"> taky zajišťuje stah cytoplasmatické membrány a její z</w:t>
      </w:r>
      <w:r w:rsidR="00F619A5">
        <w:t>a</w:t>
      </w:r>
      <w:r>
        <w:t>škrcení při dělení buňky</w:t>
      </w:r>
      <w:r w:rsidR="00F619A5">
        <w:t xml:space="preserve"> (tzv. </w:t>
      </w:r>
      <w:r w:rsidR="00F619A5" w:rsidRPr="00F619A5">
        <w:rPr>
          <w:i/>
        </w:rPr>
        <w:t>kontraktilní prstenec</w:t>
      </w:r>
      <w:r w:rsidR="00F619A5">
        <w:t>)</w:t>
      </w:r>
    </w:p>
    <w:p w:rsidR="00744989" w:rsidRDefault="00B85A6C" w:rsidP="00CD67CB">
      <w:pPr>
        <w:pStyle w:val="Odstavecseseznamem"/>
        <w:numPr>
          <w:ilvl w:val="0"/>
          <w:numId w:val="5"/>
        </w:numPr>
      </w:pPr>
      <w:proofErr w:type="spellStart"/>
      <w:r>
        <w:t>kinesiny</w:t>
      </w:r>
      <w:proofErr w:type="spellEnd"/>
      <w:r>
        <w:t xml:space="preserve"> </w:t>
      </w:r>
      <w:r w:rsidR="00E30F73">
        <w:t xml:space="preserve">a </w:t>
      </w:r>
      <w:proofErr w:type="spellStart"/>
      <w:r w:rsidR="00E30F73">
        <w:t>dyneiny</w:t>
      </w:r>
      <w:proofErr w:type="spellEnd"/>
      <w:r w:rsidR="00E30F73">
        <w:t xml:space="preserve"> </w:t>
      </w:r>
      <w:r>
        <w:t xml:space="preserve">= takové ty „chodící proteiny“, </w:t>
      </w:r>
      <w:r w:rsidR="00744989">
        <w:t xml:space="preserve">které </w:t>
      </w:r>
      <w:r>
        <w:t xml:space="preserve">kráčí po </w:t>
      </w:r>
      <w:r w:rsidR="00C057CC">
        <w:t>cytoskeletálních</w:t>
      </w:r>
      <w:bookmarkStart w:id="17" w:name="_GoBack"/>
      <w:bookmarkEnd w:id="17"/>
      <w:r w:rsidR="00C057CC">
        <w:t xml:space="preserve"> </w:t>
      </w:r>
      <w:r>
        <w:t xml:space="preserve">vláknech </w:t>
      </w:r>
      <w:proofErr w:type="spellStart"/>
      <w:r>
        <w:t>mirkotubulinu</w:t>
      </w:r>
      <w:proofErr w:type="spellEnd"/>
      <w:r w:rsidR="00744989">
        <w:t xml:space="preserve"> a transportují různé </w:t>
      </w:r>
      <w:proofErr w:type="spellStart"/>
      <w:r w:rsidR="00744989">
        <w:t>vesikuly</w:t>
      </w:r>
      <w:proofErr w:type="spellEnd"/>
      <w:r w:rsidR="00744989">
        <w:t xml:space="preserve"> apod</w:t>
      </w:r>
      <w:r w:rsidR="00E30F73">
        <w:t>.</w:t>
      </w:r>
      <w:r w:rsidR="00744989">
        <w:t xml:space="preserve"> Taky mají n</w:t>
      </w:r>
      <w:r w:rsidR="007E5C01">
        <w:t xml:space="preserve">a starosti seřazení a následné </w:t>
      </w:r>
      <w:r w:rsidR="00744989">
        <w:t>oddělení chromozomů při mitóze.</w:t>
      </w:r>
    </w:p>
    <w:p w:rsidR="00CD67CB" w:rsidRDefault="00E30F73" w:rsidP="00CD67CB">
      <w:pPr>
        <w:pStyle w:val="Odstavecseseznamem"/>
        <w:numPr>
          <w:ilvl w:val="0"/>
          <w:numId w:val="5"/>
        </w:numPr>
      </w:pPr>
      <w:r>
        <w:t xml:space="preserve"> Určitý druh </w:t>
      </w:r>
      <w:proofErr w:type="spellStart"/>
      <w:r>
        <w:t>dyneinů</w:t>
      </w:r>
      <w:proofErr w:type="spellEnd"/>
      <w:r>
        <w:t xml:space="preserve"> je zodpovědný za pohyb některých bičíků prvoků. „Hlavy“ </w:t>
      </w:r>
      <w:proofErr w:type="spellStart"/>
      <w:r>
        <w:t>dyneinů</w:t>
      </w:r>
      <w:proofErr w:type="spellEnd"/>
      <w:r>
        <w:t xml:space="preserve"> jsou</w:t>
      </w:r>
      <w:r w:rsidR="007E5C01">
        <w:t xml:space="preserve"> zde </w:t>
      </w:r>
      <w:r>
        <w:t xml:space="preserve">fixované a jejich „nohy“ kráčí po dvou vláknech tubulinů. Když to dělá mnoho </w:t>
      </w:r>
      <w:proofErr w:type="spellStart"/>
      <w:r>
        <w:t>dyneinů</w:t>
      </w:r>
      <w:proofErr w:type="spellEnd"/>
      <w:r>
        <w:t xml:space="preserve"> synchronizovaně, tubuliny po sobě kloužou a bičík se kroutí.</w:t>
      </w:r>
    </w:p>
    <w:p w:rsidR="00CD67CB" w:rsidRDefault="00026186" w:rsidP="00CD67CB">
      <w:pPr>
        <w:pStyle w:val="Odstavecseseznamem"/>
        <w:numPr>
          <w:ilvl w:val="0"/>
          <w:numId w:val="5"/>
        </w:numPr>
      </w:pPr>
      <w:r w:rsidRPr="00026186">
        <w:rPr>
          <w:i/>
        </w:rPr>
        <w:lastRenderedPageBreak/>
        <w:t>Mot komplex</w:t>
      </w:r>
      <w:r w:rsidR="00CD67CB">
        <w:t>:</w:t>
      </w:r>
      <w:r w:rsidR="00AB21FD">
        <w:t xml:space="preserve"> gramnegativní bakterie mají dvojitou cytoplasmatickou membránu oddělenou </w:t>
      </w:r>
      <w:proofErr w:type="spellStart"/>
      <w:r w:rsidR="00AB21FD">
        <w:t>peptidoglykanem</w:t>
      </w:r>
      <w:proofErr w:type="spellEnd"/>
      <w:r w:rsidR="00AB21FD">
        <w:t xml:space="preserve">. Některé z těchto bakterií mají bičík poháněný tzv. </w:t>
      </w:r>
      <w:r w:rsidR="00AB21FD" w:rsidRPr="00AB21FD">
        <w:rPr>
          <w:i/>
        </w:rPr>
        <w:t>mot</w:t>
      </w:r>
      <w:r w:rsidR="00AB21FD" w:rsidRPr="00AB21FD">
        <w:rPr>
          <w:i/>
        </w:rPr>
        <w:noBreakHyphen/>
        <w:t>komplexem</w:t>
      </w:r>
      <w:r w:rsidR="00AB21FD">
        <w:t>, což je</w:t>
      </w:r>
      <w:r w:rsidR="00CD67CB">
        <w:t xml:space="preserve"> rotor p</w:t>
      </w:r>
      <w:r w:rsidR="007E5C01">
        <w:t xml:space="preserve">oháněný vyrovnáváním gradientu iontů </w:t>
      </w:r>
      <w:r w:rsidR="00CD67CB">
        <w:t xml:space="preserve">přes </w:t>
      </w:r>
      <w:r w:rsidR="00AB21FD">
        <w:t>vnitřní membránu</w:t>
      </w:r>
      <w:r w:rsidR="00CD67CB">
        <w:t xml:space="preserve">. </w:t>
      </w:r>
      <w:r w:rsidR="00AB21FD">
        <w:t>Bičík</w:t>
      </w:r>
      <w:r w:rsidR="00CD67CB">
        <w:t xml:space="preserve"> se pak kroutí jako lodní šroub.</w:t>
      </w:r>
    </w:p>
    <w:p w:rsidR="00CD67CB" w:rsidRDefault="00CD67CB" w:rsidP="00CD67CB"/>
    <w:p w:rsidR="00CD67CB" w:rsidRDefault="00CD67CB" w:rsidP="00CD67CB">
      <w:r>
        <w:rPr>
          <w:noProof/>
        </w:rPr>
        <w:drawing>
          <wp:inline distT="0" distB="0" distL="0" distR="0">
            <wp:extent cx="2327523" cy="2028825"/>
            <wp:effectExtent l="0" t="0" r="0" b="0"/>
            <wp:docPr id="11" name="Obrázek 11" descr="Bacterial_flagellum_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cterial_flagellum_arrow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22" cy="20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6C" w:rsidRDefault="00B85A6C" w:rsidP="00B85A6C"/>
    <w:p w:rsidR="00B85A6C" w:rsidRDefault="00CD67CB" w:rsidP="00CD67CB">
      <w:pPr>
        <w:pStyle w:val="Odstavecseseznamem"/>
        <w:numPr>
          <w:ilvl w:val="0"/>
          <w:numId w:val="6"/>
        </w:numPr>
      </w:pPr>
      <w:r w:rsidRPr="00026186">
        <w:rPr>
          <w:i/>
        </w:rPr>
        <w:t>ATP-</w:t>
      </w:r>
      <w:proofErr w:type="spellStart"/>
      <w:r w:rsidRPr="00026186">
        <w:rPr>
          <w:i/>
        </w:rPr>
        <w:t>syntáza</w:t>
      </w:r>
      <w:proofErr w:type="spellEnd"/>
      <w:r>
        <w:t xml:space="preserve">: </w:t>
      </w:r>
      <w:r w:rsidR="00744989">
        <w:t xml:space="preserve">protein </w:t>
      </w:r>
      <w:r w:rsidR="00026186">
        <w:t>(</w:t>
      </w:r>
      <w:r w:rsidR="00744989">
        <w:t xml:space="preserve">ukotvený u </w:t>
      </w:r>
      <w:proofErr w:type="spellStart"/>
      <w:r w:rsidR="00744989">
        <w:t>eukaryot</w:t>
      </w:r>
      <w:proofErr w:type="spellEnd"/>
      <w:r w:rsidR="00744989">
        <w:t xml:space="preserve"> ve vnitřní membráně mitochondrií</w:t>
      </w:r>
      <w:r w:rsidR="00026186">
        <w:t>)</w:t>
      </w:r>
      <w:r w:rsidR="00744989">
        <w:t>,</w:t>
      </w:r>
      <w:r w:rsidR="00026186">
        <w:t xml:space="preserve"> který</w:t>
      </w:r>
      <w:r w:rsidR="00744989">
        <w:t xml:space="preserve"> využívá vyrovnávání gradientů iontů </w:t>
      </w:r>
      <w:r w:rsidR="00F619A5">
        <w:t>(ne vždy Na</w:t>
      </w:r>
      <w:r w:rsidR="00F619A5" w:rsidRPr="00F619A5">
        <w:rPr>
          <w:vertAlign w:val="superscript"/>
        </w:rPr>
        <w:t>+</w:t>
      </w:r>
      <w:r w:rsidR="00026186">
        <w:rPr>
          <w:vertAlign w:val="superscript"/>
        </w:rPr>
        <w:t xml:space="preserve"> </w:t>
      </w:r>
      <w:r w:rsidR="00026186" w:rsidRPr="00026186">
        <w:t>jako na obrázku</w:t>
      </w:r>
      <w:r w:rsidR="00F619A5">
        <w:t xml:space="preserve">) </w:t>
      </w:r>
      <w:r w:rsidR="00744989">
        <w:t>napříč touto membránou k syntéze ATP.</w:t>
      </w:r>
      <w:r w:rsidR="00F619A5">
        <w:t xml:space="preserve"> Opačný proces zajišťují různé </w:t>
      </w:r>
      <w:proofErr w:type="spellStart"/>
      <w:r w:rsidR="00F619A5">
        <w:t>ATPázy</w:t>
      </w:r>
      <w:proofErr w:type="spellEnd"/>
      <w:r w:rsidR="00F619A5">
        <w:t xml:space="preserve">: </w:t>
      </w:r>
      <w:r w:rsidR="00026186">
        <w:t xml:space="preserve">za </w:t>
      </w:r>
      <w:r w:rsidR="00F619A5">
        <w:t>hydrolýz</w:t>
      </w:r>
      <w:r w:rsidR="00026186">
        <w:t>y</w:t>
      </w:r>
      <w:r w:rsidR="00F619A5">
        <w:t xml:space="preserve"> ATP různé iontové gradienty vytvářejí, a taky se při tom točí.</w:t>
      </w:r>
    </w:p>
    <w:p w:rsidR="0097114D" w:rsidRDefault="00CD67CB" w:rsidP="00F619A5">
      <w:pPr>
        <w:pStyle w:val="Odstavecseseznamem"/>
      </w:pPr>
      <w:r>
        <w:rPr>
          <w:noProof/>
        </w:rPr>
        <w:drawing>
          <wp:inline distT="0" distB="0" distL="0" distR="0">
            <wp:extent cx="2474976" cy="2762250"/>
            <wp:effectExtent l="0" t="0" r="1905" b="0"/>
            <wp:docPr id="13" name="Obrázek 13" descr="http://mcb.berkeley.edu/gallery2/main.php?g2_view=core.DownloadItem&amp;g2_itemId=149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cb.berkeley.edu/gallery2/main.php?g2_view=core.DownloadItem&amp;g2_itemId=149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82" cy="27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86" w:rsidRDefault="00026186" w:rsidP="00F619A5">
      <w:pPr>
        <w:pStyle w:val="Odstavecseseznamem"/>
        <w:rPr>
          <w:b/>
        </w:rPr>
      </w:pPr>
    </w:p>
    <w:p w:rsidR="005B5EEA" w:rsidRPr="005B5EEA" w:rsidRDefault="005B5EEA" w:rsidP="00F619A5">
      <w:pPr>
        <w:pStyle w:val="Odstavecseseznamem"/>
        <w:rPr>
          <w:b/>
        </w:rPr>
      </w:pPr>
      <w:r w:rsidRPr="005B5EEA">
        <w:rPr>
          <w:b/>
        </w:rPr>
        <w:t>Proteiny replikace a transkripce</w:t>
      </w:r>
    </w:p>
    <w:p w:rsidR="005B5EEA" w:rsidRDefault="00026186" w:rsidP="00F619A5">
      <w:pPr>
        <w:pStyle w:val="Odstavecseseznamem"/>
      </w:pPr>
      <w:r>
        <w:t xml:space="preserve">Schopnost </w:t>
      </w:r>
      <w:r w:rsidR="005B5EEA">
        <w:t xml:space="preserve">přeměny </w:t>
      </w:r>
      <w:r>
        <w:t>chemické energie na mechanickou mají i</w:t>
      </w:r>
      <w:r w:rsidR="005B5EEA">
        <w:t xml:space="preserve"> DNA</w:t>
      </w:r>
      <w:r>
        <w:t>/</w:t>
      </w:r>
      <w:r w:rsidR="005B5EEA">
        <w:t xml:space="preserve">RNA polymerázy, neboť využívají energie chemických vazeb nejen na prodlužování molekul nukleových kyselin, ale i na pohyb sebe sama. Dále proteiny jako </w:t>
      </w:r>
      <w:proofErr w:type="spellStart"/>
      <w:r w:rsidR="005B5EEA">
        <w:t>helikáza</w:t>
      </w:r>
      <w:proofErr w:type="spellEnd"/>
      <w:r w:rsidR="005B5EEA">
        <w:t xml:space="preserve">, </w:t>
      </w:r>
      <w:proofErr w:type="spellStart"/>
      <w:r w:rsidR="005B5EEA">
        <w:t>topoizomeráza</w:t>
      </w:r>
      <w:proofErr w:type="spellEnd"/>
      <w:r w:rsidR="005B5EEA">
        <w:t>…</w:t>
      </w:r>
    </w:p>
    <w:sectPr w:rsidR="005B5EEA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64D8F"/>
    <w:multiLevelType w:val="multilevel"/>
    <w:tmpl w:val="4A7A9B3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2AB521B5"/>
    <w:multiLevelType w:val="hybridMultilevel"/>
    <w:tmpl w:val="7A4AE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01B5E"/>
    <w:multiLevelType w:val="multilevel"/>
    <w:tmpl w:val="1A6049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>
    <w:nsid w:val="44595B17"/>
    <w:multiLevelType w:val="hybridMultilevel"/>
    <w:tmpl w:val="8206B6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79300E"/>
    <w:multiLevelType w:val="multilevel"/>
    <w:tmpl w:val="A502E7B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69732299"/>
    <w:multiLevelType w:val="multilevel"/>
    <w:tmpl w:val="2648EF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97114D"/>
    <w:rsid w:val="00026186"/>
    <w:rsid w:val="0002695D"/>
    <w:rsid w:val="000333F2"/>
    <w:rsid w:val="000624D0"/>
    <w:rsid w:val="00087177"/>
    <w:rsid w:val="001A190F"/>
    <w:rsid w:val="002D35B6"/>
    <w:rsid w:val="004A2A9D"/>
    <w:rsid w:val="00505969"/>
    <w:rsid w:val="005B5EEA"/>
    <w:rsid w:val="00744989"/>
    <w:rsid w:val="007C3964"/>
    <w:rsid w:val="007E5C01"/>
    <w:rsid w:val="00922434"/>
    <w:rsid w:val="0097114D"/>
    <w:rsid w:val="00A038EA"/>
    <w:rsid w:val="00A86AC8"/>
    <w:rsid w:val="00AB21FD"/>
    <w:rsid w:val="00B85A6C"/>
    <w:rsid w:val="00BF64F1"/>
    <w:rsid w:val="00C057CC"/>
    <w:rsid w:val="00C325FA"/>
    <w:rsid w:val="00CD67CB"/>
    <w:rsid w:val="00E06B08"/>
    <w:rsid w:val="00E30F73"/>
    <w:rsid w:val="00E32F8A"/>
    <w:rsid w:val="00E95479"/>
    <w:rsid w:val="00F619A5"/>
    <w:rsid w:val="00F80B6B"/>
    <w:rsid w:val="00F9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next w:val="Normln"/>
    <w:pPr>
      <w:spacing w:before="480" w:after="120"/>
      <w:outlineLvl w:val="0"/>
    </w:pPr>
    <w:rPr>
      <w:b/>
      <w:sz w:val="36"/>
    </w:rPr>
  </w:style>
  <w:style w:type="paragraph" w:styleId="Nadpis2">
    <w:name w:val="heading 2"/>
    <w:basedOn w:val="Normln"/>
    <w:next w:val="Normln"/>
    <w:pPr>
      <w:spacing w:before="360" w:after="80"/>
      <w:outlineLvl w:val="1"/>
    </w:pPr>
    <w:rPr>
      <w:b/>
      <w:sz w:val="28"/>
    </w:rPr>
  </w:style>
  <w:style w:type="paragraph" w:styleId="Nadpis3">
    <w:name w:val="heading 3"/>
    <w:basedOn w:val="Normln"/>
    <w:next w:val="Normln"/>
    <w:pPr>
      <w:spacing w:before="280" w:after="80"/>
      <w:outlineLvl w:val="2"/>
    </w:pPr>
    <w:rPr>
      <w:b/>
      <w:color w:val="666666"/>
      <w:sz w:val="24"/>
    </w:rPr>
  </w:style>
  <w:style w:type="paragraph" w:styleId="Nadpis4">
    <w:name w:val="heading 4"/>
    <w:basedOn w:val="Normln"/>
    <w:next w:val="Normln"/>
    <w:pPr>
      <w:spacing w:before="240" w:after="40"/>
      <w:outlineLvl w:val="3"/>
    </w:pPr>
    <w:rPr>
      <w:i/>
      <w:color w:val="666666"/>
    </w:rPr>
  </w:style>
  <w:style w:type="paragraph" w:styleId="Nadpis5">
    <w:name w:val="heading 5"/>
    <w:basedOn w:val="Normln"/>
    <w:next w:val="Normln"/>
    <w:pPr>
      <w:spacing w:before="220" w:after="40"/>
      <w:outlineLvl w:val="4"/>
    </w:pPr>
    <w:rPr>
      <w:b/>
      <w:color w:val="666666"/>
      <w:sz w:val="20"/>
    </w:rPr>
  </w:style>
  <w:style w:type="paragraph" w:styleId="Nadpis6">
    <w:name w:val="heading 6"/>
    <w:basedOn w:val="Normln"/>
    <w:next w:val="Normln"/>
    <w:pPr>
      <w:spacing w:before="200" w:after="40"/>
      <w:outlineLvl w:val="5"/>
    </w:pPr>
    <w:rPr>
      <w:i/>
      <w:color w:val="666666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pPr>
      <w:spacing w:before="480" w:after="120"/>
    </w:pPr>
    <w:rPr>
      <w:b/>
      <w:sz w:val="72"/>
    </w:rPr>
  </w:style>
  <w:style w:type="paragraph" w:styleId="Podtitul">
    <w:name w:val="Subtitle"/>
    <w:basedOn w:val="Normln"/>
    <w:next w:val="Normln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71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177"/>
    <w:rPr>
      <w:rFonts w:ascii="Tahoma" w:eastAsia="Arial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Standardnpsmoodstavce"/>
    <w:rsid w:val="00F9004C"/>
  </w:style>
  <w:style w:type="character" w:styleId="Hypertextovodkaz">
    <w:name w:val="Hyperlink"/>
    <w:basedOn w:val="Standardnpsmoodstavce"/>
    <w:uiPriority w:val="99"/>
    <w:semiHidden/>
    <w:unhideWhenUsed/>
    <w:rsid w:val="00F9004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333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next w:val="Normln"/>
    <w:pPr>
      <w:spacing w:before="480" w:after="120"/>
      <w:outlineLvl w:val="0"/>
    </w:pPr>
    <w:rPr>
      <w:b/>
      <w:sz w:val="36"/>
    </w:rPr>
  </w:style>
  <w:style w:type="paragraph" w:styleId="Nadpis2">
    <w:name w:val="heading 2"/>
    <w:basedOn w:val="Normln"/>
    <w:next w:val="Normln"/>
    <w:pPr>
      <w:spacing w:before="360" w:after="80"/>
      <w:outlineLvl w:val="1"/>
    </w:pPr>
    <w:rPr>
      <w:b/>
      <w:sz w:val="28"/>
    </w:rPr>
  </w:style>
  <w:style w:type="paragraph" w:styleId="Nadpis3">
    <w:name w:val="heading 3"/>
    <w:basedOn w:val="Normln"/>
    <w:next w:val="Normln"/>
    <w:pPr>
      <w:spacing w:before="280" w:after="80"/>
      <w:outlineLvl w:val="2"/>
    </w:pPr>
    <w:rPr>
      <w:b/>
      <w:color w:val="666666"/>
      <w:sz w:val="24"/>
    </w:rPr>
  </w:style>
  <w:style w:type="paragraph" w:styleId="Nadpis4">
    <w:name w:val="heading 4"/>
    <w:basedOn w:val="Normln"/>
    <w:next w:val="Normln"/>
    <w:pPr>
      <w:spacing w:before="240" w:after="40"/>
      <w:outlineLvl w:val="3"/>
    </w:pPr>
    <w:rPr>
      <w:i/>
      <w:color w:val="666666"/>
    </w:rPr>
  </w:style>
  <w:style w:type="paragraph" w:styleId="Nadpis5">
    <w:name w:val="heading 5"/>
    <w:basedOn w:val="Normln"/>
    <w:next w:val="Normln"/>
    <w:pPr>
      <w:spacing w:before="220" w:after="40"/>
      <w:outlineLvl w:val="4"/>
    </w:pPr>
    <w:rPr>
      <w:b/>
      <w:color w:val="666666"/>
      <w:sz w:val="20"/>
    </w:rPr>
  </w:style>
  <w:style w:type="paragraph" w:styleId="Nadpis6">
    <w:name w:val="heading 6"/>
    <w:basedOn w:val="Normln"/>
    <w:next w:val="Normln"/>
    <w:pPr>
      <w:spacing w:before="200" w:after="40"/>
      <w:outlineLvl w:val="5"/>
    </w:pPr>
    <w:rPr>
      <w:i/>
      <w:color w:val="666666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pPr>
      <w:spacing w:before="480" w:after="120"/>
    </w:pPr>
    <w:rPr>
      <w:b/>
      <w:sz w:val="72"/>
    </w:rPr>
  </w:style>
  <w:style w:type="paragraph" w:styleId="Podtitul">
    <w:name w:val="Subtitle"/>
    <w:basedOn w:val="Normln"/>
    <w:next w:val="Normln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71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177"/>
    <w:rPr>
      <w:rFonts w:ascii="Tahoma" w:eastAsia="Arial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Standardnpsmoodstavce"/>
    <w:rsid w:val="00F9004C"/>
  </w:style>
  <w:style w:type="character" w:styleId="Hypertextovodkaz">
    <w:name w:val="Hyperlink"/>
    <w:basedOn w:val="Standardnpsmoodstavce"/>
    <w:uiPriority w:val="99"/>
    <w:semiHidden/>
    <w:unhideWhenUsed/>
    <w:rsid w:val="00F9004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33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://en.wikipedia.org/wiki/Excitation%E2%80%93contraction_coupling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854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Přeměna chemické energie v mechanickou.docx</vt:lpstr>
    </vt:vector>
  </TitlesOfParts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Přeměna chemické energie v mechanickou.docx</dc:title>
  <dc:creator>Martin</dc:creator>
  <cp:lastModifiedBy>Martin</cp:lastModifiedBy>
  <cp:revision>15</cp:revision>
  <cp:lastPrinted>2013-04-29T10:31:00Z</cp:lastPrinted>
  <dcterms:created xsi:type="dcterms:W3CDTF">2013-04-28T20:38:00Z</dcterms:created>
  <dcterms:modified xsi:type="dcterms:W3CDTF">2013-04-29T10:32:00Z</dcterms:modified>
</cp:coreProperties>
</file>